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pStyle w:val="4"/>
        <w:numPr>
          <w:ilvl w:val="0"/>
          <w:numId w:val="0"/>
        </w:numPr>
        <w:spacing w:before="0" w:beforeAutospacing="0" w:after="0" w:afterAutospacing="0" w:line="400" w:lineRule="exact"/>
        <w:rPr>
          <w:rFonts w:hint="default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附件1：</w:t>
      </w:r>
    </w:p>
    <w:p>
      <w:pPr>
        <w:pStyle w:val="4"/>
        <w:numPr>
          <w:ilvl w:val="0"/>
          <w:numId w:val="0"/>
        </w:numPr>
        <w:spacing w:before="0" w:beforeAutospacing="0" w:after="0" w:afterAutospacing="0" w:line="400" w:lineRule="exact"/>
        <w:ind w:firstLine="2409" w:firstLineChars="600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>重点学生</w:t>
      </w:r>
      <w:r>
        <w:rPr>
          <w:rFonts w:hint="eastAsia" w:ascii="宋体" w:hAnsi="宋体" w:eastAsia="宋体" w:cs="宋体"/>
          <w:b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>汇总表（</w:t>
      </w:r>
      <w:r>
        <w:rPr>
          <w:rFonts w:hint="eastAsia" w:ascii="宋体" w:hAnsi="宋体" w:cs="宋体"/>
          <w:b/>
          <w:i w:val="0"/>
          <w:color w:val="000000"/>
          <w:kern w:val="0"/>
          <w:sz w:val="40"/>
          <w:szCs w:val="40"/>
          <w:u w:val="single"/>
          <w:lang w:val="en-US" w:eastAsia="zh-CN" w:bidi="ar"/>
        </w:rPr>
        <w:t>2019-2020</w:t>
      </w:r>
      <w:r>
        <w:rPr>
          <w:rFonts w:hint="eastAsia" w:ascii="宋体" w:hAnsi="宋体" w:cs="宋体"/>
          <w:b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>学年</w:t>
      </w:r>
      <w:r>
        <w:rPr>
          <w:rFonts w:hint="eastAsia" w:ascii="宋体" w:hAnsi="宋体" w:cs="宋体"/>
          <w:b/>
          <w:i w:val="0"/>
          <w:color w:val="000000"/>
          <w:kern w:val="0"/>
          <w:sz w:val="40"/>
          <w:szCs w:val="40"/>
          <w:u w:val="single"/>
          <w:lang w:val="en-US" w:eastAsia="zh-CN" w:bidi="ar"/>
        </w:rPr>
        <w:t xml:space="preserve">         </w:t>
      </w:r>
      <w:r>
        <w:rPr>
          <w:rFonts w:hint="eastAsia" w:ascii="宋体" w:hAnsi="宋体" w:cs="宋体"/>
          <w:b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>系部</w:t>
      </w:r>
      <w:r>
        <w:rPr>
          <w:rFonts w:hint="eastAsia" w:ascii="宋体" w:hAnsi="宋体" w:eastAsia="宋体" w:cs="宋体"/>
          <w:b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>）</w:t>
      </w:r>
    </w:p>
    <w:p>
      <w:pPr>
        <w:pStyle w:val="4"/>
        <w:numPr>
          <w:ilvl w:val="0"/>
          <w:numId w:val="0"/>
        </w:numPr>
        <w:spacing w:before="0" w:beforeAutospacing="0" w:after="0" w:afterAutospacing="0" w:line="400" w:lineRule="exact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3"/>
        <w:gridCol w:w="1187"/>
        <w:gridCol w:w="1185"/>
        <w:gridCol w:w="2625"/>
        <w:gridCol w:w="1635"/>
        <w:gridCol w:w="1316"/>
        <w:gridCol w:w="1417"/>
        <w:gridCol w:w="1417"/>
        <w:gridCol w:w="1417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3" w:type="dxa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before="0" w:beforeAutospacing="0" w:after="0" w:afterAutospacing="0"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  <w:t>重点关注类型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学生姓名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所在班级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班主任</w:t>
            </w:r>
          </w:p>
        </w:tc>
        <w:tc>
          <w:tcPr>
            <w:tcW w:w="13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病种病情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/具体表现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学生不宜参加的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活动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指定急救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医院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家长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手机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家长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手机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3" w:type="dxa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before="0" w:beforeAutospacing="0" w:after="0" w:afterAutospacing="0"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187" w:type="dxa"/>
            <w:vMerge w:val="restart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before="0" w:beforeAutospacing="0" w:after="0" w:afterAutospacing="0" w:line="40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  <w:t>身体</w:t>
            </w:r>
          </w:p>
          <w:p>
            <w:pPr>
              <w:pStyle w:val="4"/>
              <w:numPr>
                <w:ilvl w:val="0"/>
                <w:numId w:val="0"/>
              </w:numPr>
              <w:spacing w:before="0" w:beforeAutospacing="0" w:after="0" w:afterAutospacing="0" w:line="40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  <w:t>特殊</w:t>
            </w:r>
          </w:p>
          <w:p>
            <w:pPr>
              <w:pStyle w:val="4"/>
              <w:numPr>
                <w:ilvl w:val="0"/>
                <w:numId w:val="0"/>
              </w:numPr>
              <w:spacing w:before="0" w:beforeAutospacing="0" w:after="0" w:afterAutospacing="0"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  <w:t>体质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16" w:type="dxa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before="0" w:beforeAutospacing="0" w:after="0" w:afterAutospacing="0"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before="0" w:beforeAutospacing="0" w:after="0" w:afterAutospacing="0"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before="0" w:beforeAutospacing="0" w:after="0" w:afterAutospacing="0"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before="0" w:beforeAutospacing="0" w:after="0" w:afterAutospacing="0"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before="0" w:beforeAutospacing="0" w:after="0" w:afterAutospacing="0"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3" w:type="dxa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before="0" w:beforeAutospacing="0" w:after="0" w:afterAutospacing="0"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187" w:type="dxa"/>
            <w:vMerge w:val="continue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before="0" w:beforeAutospacing="0" w:after="0" w:afterAutospacing="0"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before="0" w:beforeAutospacing="0" w:after="0" w:afterAutospacing="0"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25" w:type="dxa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before="0" w:beforeAutospacing="0" w:after="0" w:afterAutospacing="0"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35" w:type="dxa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before="0" w:beforeAutospacing="0" w:after="0" w:afterAutospacing="0"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16" w:type="dxa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before="0" w:beforeAutospacing="0" w:after="0" w:afterAutospacing="0"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before="0" w:beforeAutospacing="0" w:after="0" w:afterAutospacing="0"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before="0" w:beforeAutospacing="0" w:after="0" w:afterAutospacing="0"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before="0" w:beforeAutospacing="0" w:after="0" w:afterAutospacing="0"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before="0" w:beforeAutospacing="0" w:after="0" w:afterAutospacing="0"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3" w:type="dxa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before="0" w:beforeAutospacing="0" w:after="0" w:afterAutospacing="0"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187" w:type="dxa"/>
            <w:vMerge w:val="continue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before="0" w:beforeAutospacing="0" w:after="0" w:afterAutospacing="0"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before="0" w:beforeAutospacing="0" w:after="0" w:afterAutospacing="0"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25" w:type="dxa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before="0" w:beforeAutospacing="0" w:after="0" w:afterAutospacing="0"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35" w:type="dxa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before="0" w:beforeAutospacing="0" w:after="0" w:afterAutospacing="0"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16" w:type="dxa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before="0" w:beforeAutospacing="0" w:after="0" w:afterAutospacing="0"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before="0" w:beforeAutospacing="0" w:after="0" w:afterAutospacing="0"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before="0" w:beforeAutospacing="0" w:after="0" w:afterAutospacing="0"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before="0" w:beforeAutospacing="0" w:after="0" w:afterAutospacing="0"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before="0" w:beforeAutospacing="0" w:after="0" w:afterAutospacing="0"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3" w:type="dxa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before="0" w:beforeAutospacing="0" w:after="0" w:afterAutospacing="0"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187" w:type="dxa"/>
            <w:vMerge w:val="continue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before="0" w:beforeAutospacing="0" w:after="0" w:afterAutospacing="0"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before="0" w:beforeAutospacing="0" w:after="0" w:afterAutospacing="0"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25" w:type="dxa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before="0" w:beforeAutospacing="0" w:after="0" w:afterAutospacing="0"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35" w:type="dxa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before="0" w:beforeAutospacing="0" w:after="0" w:afterAutospacing="0"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16" w:type="dxa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before="0" w:beforeAutospacing="0" w:after="0" w:afterAutospacing="0"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before="0" w:beforeAutospacing="0" w:after="0" w:afterAutospacing="0"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before="0" w:beforeAutospacing="0" w:after="0" w:afterAutospacing="0"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before="0" w:beforeAutospacing="0" w:after="0" w:afterAutospacing="0"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before="0" w:beforeAutospacing="0" w:after="0" w:afterAutospacing="0"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3" w:type="dxa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before="0" w:beforeAutospacing="0" w:after="0" w:afterAutospacing="0"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187" w:type="dxa"/>
            <w:vMerge w:val="restart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before="0" w:beforeAutospacing="0" w:after="0" w:afterAutospacing="0" w:line="40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  <w:t>心理</w:t>
            </w:r>
          </w:p>
          <w:p>
            <w:pPr>
              <w:pStyle w:val="4"/>
              <w:numPr>
                <w:ilvl w:val="0"/>
                <w:numId w:val="0"/>
              </w:numPr>
              <w:spacing w:before="0" w:beforeAutospacing="0" w:after="0" w:afterAutospacing="0"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  <w:t>亚健康</w:t>
            </w:r>
          </w:p>
        </w:tc>
        <w:tc>
          <w:tcPr>
            <w:tcW w:w="1185" w:type="dxa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before="0" w:beforeAutospacing="0" w:after="0" w:afterAutospacing="0"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25" w:type="dxa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before="0" w:beforeAutospacing="0" w:after="0" w:afterAutospacing="0"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35" w:type="dxa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before="0" w:beforeAutospacing="0" w:after="0" w:afterAutospacing="0"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16" w:type="dxa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before="0" w:beforeAutospacing="0" w:after="0" w:afterAutospacing="0"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before="0" w:beforeAutospacing="0" w:after="0" w:afterAutospacing="0" w:line="400" w:lineRule="exact"/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/</w:t>
            </w:r>
          </w:p>
        </w:tc>
        <w:tc>
          <w:tcPr>
            <w:tcW w:w="1417" w:type="dxa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before="0" w:beforeAutospacing="0" w:after="0" w:afterAutospacing="0"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/</w:t>
            </w:r>
          </w:p>
        </w:tc>
        <w:tc>
          <w:tcPr>
            <w:tcW w:w="1417" w:type="dxa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before="0" w:beforeAutospacing="0" w:after="0" w:afterAutospacing="0"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before="0" w:beforeAutospacing="0" w:after="0" w:afterAutospacing="0"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3" w:type="dxa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before="0" w:beforeAutospacing="0" w:after="0" w:afterAutospacing="0"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187" w:type="dxa"/>
            <w:vMerge w:val="continue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before="0" w:beforeAutospacing="0" w:after="0" w:afterAutospacing="0"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before="0" w:beforeAutospacing="0" w:after="0" w:afterAutospacing="0"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25" w:type="dxa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before="0" w:beforeAutospacing="0" w:after="0" w:afterAutospacing="0"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35" w:type="dxa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before="0" w:beforeAutospacing="0" w:after="0" w:afterAutospacing="0"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16" w:type="dxa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before="0" w:beforeAutospacing="0" w:after="0" w:afterAutospacing="0"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before="0" w:beforeAutospacing="0" w:after="0" w:afterAutospacing="0" w:line="40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/</w:t>
            </w:r>
          </w:p>
        </w:tc>
        <w:tc>
          <w:tcPr>
            <w:tcW w:w="1417" w:type="dxa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before="0" w:beforeAutospacing="0" w:after="0" w:afterAutospacing="0" w:line="40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/</w:t>
            </w:r>
          </w:p>
        </w:tc>
        <w:tc>
          <w:tcPr>
            <w:tcW w:w="1417" w:type="dxa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before="0" w:beforeAutospacing="0" w:after="0" w:afterAutospacing="0"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before="0" w:beforeAutospacing="0" w:after="0" w:afterAutospacing="0"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3" w:type="dxa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before="0" w:beforeAutospacing="0" w:after="0" w:afterAutospacing="0"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187" w:type="dxa"/>
            <w:vMerge w:val="continue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before="0" w:beforeAutospacing="0" w:after="0" w:afterAutospacing="0"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before="0" w:beforeAutospacing="0" w:after="0" w:afterAutospacing="0"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25" w:type="dxa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before="0" w:beforeAutospacing="0" w:after="0" w:afterAutospacing="0"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35" w:type="dxa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before="0" w:beforeAutospacing="0" w:after="0" w:afterAutospacing="0"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16" w:type="dxa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before="0" w:beforeAutospacing="0" w:after="0" w:afterAutospacing="0"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before="0" w:beforeAutospacing="0" w:after="0" w:afterAutospacing="0" w:line="40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/</w:t>
            </w:r>
          </w:p>
        </w:tc>
        <w:tc>
          <w:tcPr>
            <w:tcW w:w="1417" w:type="dxa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before="0" w:beforeAutospacing="0" w:after="0" w:afterAutospacing="0" w:line="40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/</w:t>
            </w:r>
          </w:p>
        </w:tc>
        <w:tc>
          <w:tcPr>
            <w:tcW w:w="1417" w:type="dxa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before="0" w:beforeAutospacing="0" w:after="0" w:afterAutospacing="0"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before="0" w:beforeAutospacing="0" w:after="0" w:afterAutospacing="0"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3" w:type="dxa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before="0" w:beforeAutospacing="0" w:after="0" w:afterAutospacing="0"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1187" w:type="dxa"/>
            <w:vMerge w:val="continue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before="0" w:beforeAutospacing="0" w:after="0" w:afterAutospacing="0"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before="0" w:beforeAutospacing="0" w:after="0" w:afterAutospacing="0"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25" w:type="dxa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before="0" w:beforeAutospacing="0" w:after="0" w:afterAutospacing="0"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35" w:type="dxa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before="0" w:beforeAutospacing="0" w:after="0" w:afterAutospacing="0"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16" w:type="dxa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before="0" w:beforeAutospacing="0" w:after="0" w:afterAutospacing="0"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before="0" w:beforeAutospacing="0" w:after="0" w:afterAutospacing="0" w:line="40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/</w:t>
            </w:r>
          </w:p>
        </w:tc>
        <w:tc>
          <w:tcPr>
            <w:tcW w:w="1417" w:type="dxa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before="0" w:beforeAutospacing="0" w:after="0" w:afterAutospacing="0" w:line="40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/</w:t>
            </w:r>
          </w:p>
        </w:tc>
        <w:tc>
          <w:tcPr>
            <w:tcW w:w="1417" w:type="dxa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before="0" w:beforeAutospacing="0" w:after="0" w:afterAutospacing="0"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before="0" w:beforeAutospacing="0" w:after="0" w:afterAutospacing="0"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3" w:type="dxa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before="0" w:beforeAutospacing="0" w:after="0" w:afterAutospacing="0"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1187" w:type="dxa"/>
            <w:vMerge w:val="restart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before="0" w:beforeAutospacing="0" w:after="0" w:afterAutospacing="0" w:line="40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  <w:t>行为习惯</w:t>
            </w:r>
          </w:p>
          <w:p>
            <w:pPr>
              <w:pStyle w:val="4"/>
              <w:numPr>
                <w:ilvl w:val="0"/>
                <w:numId w:val="0"/>
              </w:numPr>
              <w:spacing w:before="0" w:beforeAutospacing="0" w:after="0" w:afterAutospacing="0" w:line="40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  <w:t>需要强化</w:t>
            </w:r>
          </w:p>
          <w:p>
            <w:pPr>
              <w:pStyle w:val="4"/>
              <w:numPr>
                <w:ilvl w:val="0"/>
                <w:numId w:val="0"/>
              </w:numPr>
              <w:spacing w:before="0" w:beforeAutospacing="0" w:after="0" w:afterAutospacing="0" w:line="40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  <w:t>教育</w:t>
            </w:r>
          </w:p>
        </w:tc>
        <w:tc>
          <w:tcPr>
            <w:tcW w:w="1185" w:type="dxa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before="0" w:beforeAutospacing="0" w:after="0" w:afterAutospacing="0"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25" w:type="dxa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before="0" w:beforeAutospacing="0" w:after="0" w:afterAutospacing="0"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35" w:type="dxa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before="0" w:beforeAutospacing="0" w:after="0" w:afterAutospacing="0"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16" w:type="dxa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before="0" w:beforeAutospacing="0" w:after="0" w:afterAutospacing="0"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before="0" w:beforeAutospacing="0" w:after="0" w:afterAutospacing="0" w:line="40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/</w:t>
            </w:r>
          </w:p>
        </w:tc>
        <w:tc>
          <w:tcPr>
            <w:tcW w:w="1417" w:type="dxa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before="0" w:beforeAutospacing="0" w:after="0" w:afterAutospacing="0" w:line="40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/</w:t>
            </w:r>
          </w:p>
        </w:tc>
        <w:tc>
          <w:tcPr>
            <w:tcW w:w="1417" w:type="dxa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before="0" w:beforeAutospacing="0" w:after="0" w:afterAutospacing="0"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before="0" w:beforeAutospacing="0" w:after="0" w:afterAutospacing="0"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3" w:type="dxa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before="0" w:beforeAutospacing="0" w:after="0" w:afterAutospacing="0"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1187" w:type="dxa"/>
            <w:vMerge w:val="continue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before="0" w:beforeAutospacing="0" w:after="0" w:afterAutospacing="0"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before="0" w:beforeAutospacing="0" w:after="0" w:afterAutospacing="0"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25" w:type="dxa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before="0" w:beforeAutospacing="0" w:after="0" w:afterAutospacing="0"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35" w:type="dxa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before="0" w:beforeAutospacing="0" w:after="0" w:afterAutospacing="0"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16" w:type="dxa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before="0" w:beforeAutospacing="0" w:after="0" w:afterAutospacing="0"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before="0" w:beforeAutospacing="0" w:after="0" w:afterAutospacing="0" w:line="40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/</w:t>
            </w:r>
          </w:p>
        </w:tc>
        <w:tc>
          <w:tcPr>
            <w:tcW w:w="1417" w:type="dxa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before="0" w:beforeAutospacing="0" w:after="0" w:afterAutospacing="0" w:line="40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/</w:t>
            </w:r>
          </w:p>
        </w:tc>
        <w:tc>
          <w:tcPr>
            <w:tcW w:w="1417" w:type="dxa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before="0" w:beforeAutospacing="0" w:after="0" w:afterAutospacing="0"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before="0" w:beforeAutospacing="0" w:after="0" w:afterAutospacing="0"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3" w:type="dxa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before="0" w:beforeAutospacing="0" w:after="0" w:afterAutospacing="0"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1187" w:type="dxa"/>
            <w:vMerge w:val="continue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before="0" w:beforeAutospacing="0" w:after="0" w:afterAutospacing="0"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before="0" w:beforeAutospacing="0" w:after="0" w:afterAutospacing="0"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25" w:type="dxa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before="0" w:beforeAutospacing="0" w:after="0" w:afterAutospacing="0"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35" w:type="dxa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before="0" w:beforeAutospacing="0" w:after="0" w:afterAutospacing="0"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16" w:type="dxa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before="0" w:beforeAutospacing="0" w:after="0" w:afterAutospacing="0"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before="0" w:beforeAutospacing="0" w:after="0" w:afterAutospacing="0" w:line="40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/</w:t>
            </w:r>
          </w:p>
        </w:tc>
        <w:tc>
          <w:tcPr>
            <w:tcW w:w="1417" w:type="dxa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before="0" w:beforeAutospacing="0" w:after="0" w:afterAutospacing="0" w:line="40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/</w:t>
            </w:r>
          </w:p>
        </w:tc>
        <w:tc>
          <w:tcPr>
            <w:tcW w:w="1417" w:type="dxa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before="0" w:beforeAutospacing="0" w:after="0" w:afterAutospacing="0"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before="0" w:beforeAutospacing="0" w:after="0" w:afterAutospacing="0"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3" w:type="dxa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before="0" w:beforeAutospacing="0" w:after="0" w:afterAutospacing="0"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1187" w:type="dxa"/>
            <w:vMerge w:val="continue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before="0" w:beforeAutospacing="0" w:after="0" w:afterAutospacing="0"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before="0" w:beforeAutospacing="0" w:after="0" w:afterAutospacing="0"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25" w:type="dxa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before="0" w:beforeAutospacing="0" w:after="0" w:afterAutospacing="0"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35" w:type="dxa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before="0" w:beforeAutospacing="0" w:after="0" w:afterAutospacing="0"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16" w:type="dxa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before="0" w:beforeAutospacing="0" w:after="0" w:afterAutospacing="0"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before="0" w:beforeAutospacing="0" w:after="0" w:afterAutospacing="0" w:line="40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/</w:t>
            </w:r>
          </w:p>
        </w:tc>
        <w:tc>
          <w:tcPr>
            <w:tcW w:w="1417" w:type="dxa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before="0" w:beforeAutospacing="0" w:after="0" w:afterAutospacing="0" w:line="40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/</w:t>
            </w:r>
          </w:p>
        </w:tc>
        <w:tc>
          <w:tcPr>
            <w:tcW w:w="1417" w:type="dxa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before="0" w:beforeAutospacing="0" w:after="0" w:afterAutospacing="0"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before="0" w:beforeAutospacing="0" w:after="0" w:afterAutospacing="0"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pStyle w:val="4"/>
        <w:numPr>
          <w:ilvl w:val="0"/>
          <w:numId w:val="0"/>
        </w:numPr>
        <w:spacing w:before="0" w:beforeAutospacing="0" w:after="0" w:afterAutospacing="0" w:line="400" w:lineRule="exact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</w:p>
    <w:p>
      <w:pPr>
        <w:pStyle w:val="4"/>
        <w:numPr>
          <w:ilvl w:val="0"/>
          <w:numId w:val="0"/>
        </w:numPr>
        <w:spacing w:before="0" w:beforeAutospacing="0" w:after="0" w:afterAutospacing="0" w:line="400" w:lineRule="exact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sectPr>
          <w:footerReference r:id="rId3" w:type="default"/>
          <w:pgSz w:w="16838" w:h="11906" w:orient="landscape"/>
          <w:pgMar w:top="1803" w:right="1440" w:bottom="1803" w:left="1440" w:header="851" w:footer="992" w:gutter="0"/>
          <w:pgNumType w:fmt="numberInDash"/>
          <w:cols w:space="0" w:num="1"/>
          <w:rtlGutter w:val="0"/>
          <w:docGrid w:type="lines" w:linePitch="319" w:charSpace="0"/>
        </w:sectPr>
      </w:pPr>
    </w:p>
    <w:p>
      <w:pPr>
        <w:jc w:val="both"/>
        <w:rPr>
          <w:rFonts w:hint="eastAsia" w:ascii="宋体" w:hAnsi="宋体" w:eastAsia="宋体" w:cs="宋体"/>
          <w:b/>
          <w:color w:val="000000"/>
          <w:sz w:val="44"/>
          <w:szCs w:val="44"/>
          <w:lang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color w:val="000000"/>
          <w:sz w:val="32"/>
          <w:szCs w:val="32"/>
          <w:lang w:eastAsia="zh-CN"/>
        </w:rPr>
        <w:t>附件</w:t>
      </w:r>
      <w:r>
        <w:rPr>
          <w:rFonts w:hint="eastAsia" w:ascii="方正仿宋_GBK" w:hAnsi="方正仿宋_GBK" w:eastAsia="方正仿宋_GBK" w:cs="方正仿宋_GBK"/>
          <w:b w:val="0"/>
          <w:bCs/>
          <w:color w:val="000000"/>
          <w:sz w:val="32"/>
          <w:szCs w:val="32"/>
          <w:lang w:val="en-US" w:eastAsia="zh-CN"/>
        </w:rPr>
        <w:t xml:space="preserve">2：  </w:t>
      </w:r>
      <w:r>
        <w:rPr>
          <w:rFonts w:hint="eastAsia" w:ascii="宋体" w:hAnsi="宋体" w:cs="宋体"/>
          <w:b/>
          <w:color w:val="000000"/>
          <w:sz w:val="44"/>
          <w:szCs w:val="44"/>
          <w:lang w:eastAsia="zh-CN"/>
        </w:rPr>
        <w:t>家校携手重点关注学生提示卡</w:t>
      </w:r>
    </w:p>
    <w:p>
      <w:pPr>
        <w:ind w:firstLine="600" w:firstLineChars="200"/>
        <w:rPr>
          <w:rFonts w:hint="eastAsia" w:ascii="方正仿宋_GBK" w:hAnsi="方正仿宋_GBK" w:eastAsia="方正仿宋_GBK" w:cs="方正仿宋_GBK"/>
          <w:sz w:val="30"/>
          <w:szCs w:val="30"/>
          <w:u w:val="single"/>
          <w:lang w:val="en-US" w:eastAsia="zh-CN"/>
        </w:rPr>
      </w:pPr>
    </w:p>
    <w:p>
      <w:pPr>
        <w:ind w:firstLine="600" w:firstLineChars="200"/>
        <w:rPr>
          <w:rFonts w:hint="eastAsia" w:ascii="方正仿宋_GBK" w:hAnsi="方正仿宋_GBK" w:eastAsia="方正仿宋_GBK" w:cs="方正仿宋_GBK"/>
          <w:sz w:val="30"/>
          <w:szCs w:val="30"/>
          <w:u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u w:val="single"/>
          <w:lang w:val="en-US" w:eastAsia="zh-CN"/>
        </w:rPr>
        <w:t xml:space="preserve">              </w:t>
      </w:r>
      <w:r>
        <w:rPr>
          <w:rFonts w:hint="eastAsia" w:ascii="方正仿宋_GBK" w:hAnsi="方正仿宋_GBK" w:eastAsia="方正仿宋_GBK" w:cs="方正仿宋_GBK"/>
          <w:sz w:val="30"/>
          <w:szCs w:val="30"/>
          <w:u w:val="none"/>
          <w:lang w:val="en-US" w:eastAsia="zh-CN"/>
        </w:rPr>
        <w:t xml:space="preserve"> 班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  <w:lang w:val="en-US" w:eastAsia="zh-CN"/>
        </w:rPr>
        <w:t xml:space="preserve">         </w:t>
      </w:r>
      <w:r>
        <w:rPr>
          <w:rFonts w:hint="eastAsia" w:ascii="方正仿宋_GBK" w:hAnsi="方正仿宋_GBK" w:eastAsia="方正仿宋_GBK" w:cs="方正仿宋_GBK"/>
          <w:sz w:val="30"/>
          <w:szCs w:val="30"/>
          <w:u w:val="none"/>
          <w:lang w:val="en-US" w:eastAsia="zh-CN"/>
        </w:rPr>
        <w:t xml:space="preserve">同学需要重点关注的问题为：  </w:t>
      </w:r>
    </w:p>
    <w:p>
      <w:pPr>
        <w:rPr>
          <w:rFonts w:hint="eastAsia" w:ascii="方正仿宋_GBK" w:hAnsi="方正仿宋_GBK" w:eastAsia="方正仿宋_GBK" w:cs="方正仿宋_GBK"/>
          <w:sz w:val="30"/>
          <w:szCs w:val="30"/>
          <w:u w:val="none"/>
          <w:lang w:val="en-US" w:eastAsia="zh-CN"/>
        </w:rPr>
      </w:pPr>
      <w:r>
        <w:rPr>
          <w:rFonts w:hint="eastAsia" w:ascii="宋体" w:hAnsi="宋体" w:cs="宋体"/>
          <w:sz w:val="30"/>
          <w:szCs w:val="30"/>
          <w:u w:val="none"/>
          <w:lang w:val="en-US" w:eastAsia="zh-CN"/>
        </w:rPr>
        <w:t xml:space="preserve">□ </w:t>
      </w:r>
      <w:r>
        <w:rPr>
          <w:rFonts w:hint="eastAsia" w:ascii="方正仿宋_GBK" w:hAnsi="方正仿宋_GBK" w:eastAsia="方正仿宋_GBK" w:cs="方正仿宋_GBK"/>
          <w:sz w:val="30"/>
          <w:szCs w:val="30"/>
          <w:u w:val="none"/>
          <w:lang w:val="en-US" w:eastAsia="zh-CN"/>
        </w:rPr>
        <w:t>特殊体质需日常重点关爱</w:t>
      </w:r>
    </w:p>
    <w:p>
      <w:pPr>
        <w:rPr>
          <w:rFonts w:hint="eastAsia" w:ascii="宋体" w:hAnsi="宋体" w:eastAsia="宋体" w:cs="宋体"/>
          <w:sz w:val="30"/>
          <w:szCs w:val="30"/>
          <w:u w:val="none"/>
          <w:lang w:val="en-US" w:eastAsia="zh-CN"/>
        </w:rPr>
      </w:pPr>
      <w:r>
        <w:rPr>
          <w:rFonts w:hint="eastAsia" w:ascii="宋体" w:hAnsi="宋体" w:cs="宋体"/>
          <w:sz w:val="30"/>
          <w:szCs w:val="30"/>
          <w:u w:val="none"/>
          <w:lang w:val="en-US" w:eastAsia="zh-CN"/>
        </w:rPr>
        <w:t xml:space="preserve">□ </w:t>
      </w:r>
      <w:r>
        <w:rPr>
          <w:rFonts w:hint="eastAsia" w:ascii="方正仿宋_GBK" w:hAnsi="方正仿宋_GBK" w:eastAsia="方正仿宋_GBK" w:cs="方正仿宋_GBK"/>
          <w:sz w:val="30"/>
          <w:szCs w:val="30"/>
          <w:u w:val="none"/>
          <w:lang w:val="en-US" w:eastAsia="zh-CN"/>
        </w:rPr>
        <w:t>心理亚健康需教育引导</w:t>
      </w:r>
    </w:p>
    <w:p>
      <w:pPr>
        <w:rPr>
          <w:rFonts w:hint="eastAsia" w:ascii="方正仿宋_GBK" w:hAnsi="方正仿宋_GBK" w:eastAsia="方正仿宋_GBK" w:cs="方正仿宋_GBK"/>
          <w:sz w:val="30"/>
          <w:szCs w:val="30"/>
          <w:u w:val="none"/>
          <w:lang w:val="en-US" w:eastAsia="zh-CN"/>
        </w:rPr>
      </w:pPr>
      <w:r>
        <w:rPr>
          <w:rFonts w:hint="eastAsia" w:ascii="宋体" w:hAnsi="宋体" w:cs="宋体"/>
          <w:sz w:val="30"/>
          <w:szCs w:val="30"/>
          <w:u w:val="none"/>
          <w:lang w:val="en-US" w:eastAsia="zh-CN"/>
        </w:rPr>
        <w:t xml:space="preserve">□ </w:t>
      </w:r>
      <w:r>
        <w:rPr>
          <w:rFonts w:hint="eastAsia" w:ascii="方正仿宋_GBK" w:hAnsi="方正仿宋_GBK" w:eastAsia="方正仿宋_GBK" w:cs="方正仿宋_GBK"/>
          <w:sz w:val="30"/>
          <w:szCs w:val="30"/>
          <w:u w:val="none"/>
          <w:lang w:val="en-US" w:eastAsia="zh-CN"/>
        </w:rPr>
        <w:t>行为习惯需要强化教育</w:t>
      </w:r>
    </w:p>
    <w:p>
      <w:pPr>
        <w:rPr>
          <w:rFonts w:hint="default" w:ascii="方正仿宋_GBK" w:hAnsi="方正仿宋_GBK" w:eastAsia="方正仿宋_GBK" w:cs="方正仿宋_GBK"/>
          <w:sz w:val="30"/>
          <w:szCs w:val="30"/>
          <w:u w:val="singl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u w:val="none"/>
          <w:lang w:val="en-US" w:eastAsia="zh-CN"/>
        </w:rPr>
        <w:t>具体表现为：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  <w:lang w:val="en-US" w:eastAsia="zh-CN"/>
        </w:rPr>
        <w:t xml:space="preserve">                                    </w:t>
      </w:r>
    </w:p>
    <w:p>
      <w:pPr>
        <w:ind w:firstLine="600" w:firstLineChars="200"/>
        <w:rPr>
          <w:rFonts w:hint="default" w:ascii="方正仿宋_GBK" w:hAnsi="方正仿宋_GBK" w:eastAsia="方正仿宋_GBK" w:cs="方正仿宋_GBK"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为深化“家校携手、齐抓共管”的育人体系，为促进学生健康快乐成长，家校携手对孩子实施重点关注。</w:t>
      </w:r>
    </w:p>
    <w:p>
      <w:pPr>
        <w:ind w:firstLine="602" w:firstLineChars="200"/>
        <w:rPr>
          <w:rFonts w:hint="eastAsia" w:ascii="方正仿宋_GBK" w:hAnsi="方正仿宋_GBK" w:eastAsia="方正仿宋_GBK" w:cs="方正仿宋_GBK"/>
          <w:b/>
          <w:bCs/>
          <w:sz w:val="30"/>
          <w:szCs w:val="30"/>
          <w:lang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0"/>
          <w:szCs w:val="30"/>
        </w:rPr>
        <w:t>一、</w:t>
      </w:r>
      <w:r>
        <w:rPr>
          <w:rFonts w:hint="eastAsia" w:ascii="方正仿宋_GBK" w:hAnsi="方正仿宋_GBK" w:eastAsia="方正仿宋_GBK" w:cs="方正仿宋_GBK"/>
          <w:b/>
          <w:bCs/>
          <w:sz w:val="30"/>
          <w:szCs w:val="30"/>
          <w:lang w:eastAsia="zh-CN"/>
        </w:rPr>
        <w:t>班主任义务</w:t>
      </w:r>
    </w:p>
    <w:p>
      <w:pPr>
        <w:ind w:firstLine="600" w:firstLineChars="200"/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1、班主任切实关心学生的身体、心理、行为等方面变化，通过在思想教育、情感交流、日常行为等方面倾注教育和关爱，定期开展谈心、交流，围绕孩子在学习、生活中遇到的思想困惑，进行必要的指导和引导，教育学生以积极、乐观、向上的态度对待学习、生活，引导他们树立正确的三观。</w:t>
      </w:r>
    </w:p>
    <w:p>
      <w:pPr>
        <w:ind w:firstLine="600" w:firstLineChars="200"/>
        <w:rPr>
          <w:rFonts w:hint="default" w:ascii="方正仿宋_GBK" w:hAnsi="方正仿宋_GBK" w:eastAsia="方正仿宋_GBK" w:cs="方正仿宋_GBK"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2、班主任将学生身、心状况告知体育任课老师，以便体育老师在教学时能够提醒学生结合身心实际情况，适当锻炼。</w:t>
      </w:r>
    </w:p>
    <w:p>
      <w:pPr>
        <w:ind w:firstLine="600" w:firstLineChars="200"/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3、班主任通过QQ、微信、电话交流、短信等途径，加强与家长的沟通，将孩子在校园学习、生活情况告知家长，争取家长配合，家校携手，共同担负起培养孩子的责任。</w:t>
      </w:r>
    </w:p>
    <w:p>
      <w:pPr>
        <w:ind w:firstLine="600" w:firstLineChars="200"/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4、班主任要建立学生档案，并保护好孩子的隐私。</w:t>
      </w:r>
    </w:p>
    <w:p>
      <w:pPr>
        <w:ind w:firstLine="602" w:firstLineChars="200"/>
        <w:rPr>
          <w:rFonts w:hint="eastAsia" w:ascii="方正仿宋_GBK" w:hAnsi="方正仿宋_GBK" w:eastAsia="方正仿宋_GBK" w:cs="方正仿宋_GBK"/>
          <w:b/>
          <w:bCs/>
          <w:sz w:val="30"/>
          <w:szCs w:val="30"/>
          <w:lang w:eastAsia="zh-CN"/>
        </w:rPr>
      </w:pPr>
    </w:p>
    <w:p>
      <w:pPr>
        <w:ind w:firstLine="602" w:firstLineChars="200"/>
        <w:rPr>
          <w:rFonts w:hint="eastAsia" w:ascii="方正仿宋_GBK" w:hAnsi="方正仿宋_GBK" w:eastAsia="方正仿宋_GBK" w:cs="方正仿宋_GBK"/>
          <w:b/>
          <w:bCs/>
          <w:sz w:val="30"/>
          <w:szCs w:val="30"/>
          <w:lang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0"/>
          <w:szCs w:val="30"/>
          <w:lang w:eastAsia="zh-CN"/>
        </w:rPr>
        <w:t>二</w:t>
      </w:r>
      <w:r>
        <w:rPr>
          <w:rFonts w:hint="eastAsia" w:ascii="方正仿宋_GBK" w:hAnsi="方正仿宋_GBK" w:eastAsia="方正仿宋_GBK" w:cs="方正仿宋_GBK"/>
          <w:b/>
          <w:bCs/>
          <w:sz w:val="30"/>
          <w:szCs w:val="30"/>
        </w:rPr>
        <w:t>、</w:t>
      </w:r>
      <w:r>
        <w:rPr>
          <w:rFonts w:hint="eastAsia" w:ascii="方正仿宋_GBK" w:hAnsi="方正仿宋_GBK" w:eastAsia="方正仿宋_GBK" w:cs="方正仿宋_GBK"/>
          <w:b/>
          <w:bCs/>
          <w:sz w:val="30"/>
          <w:szCs w:val="30"/>
          <w:lang w:eastAsia="zh-CN"/>
        </w:rPr>
        <w:t>家长义务</w:t>
      </w:r>
    </w:p>
    <w:p>
      <w:pPr>
        <w:ind w:firstLine="600" w:firstLineChars="200"/>
        <w:rPr>
          <w:rFonts w:hint="default" w:ascii="方正仿宋_GBK" w:hAnsi="方正仿宋_GBK" w:eastAsia="方正仿宋_GBK" w:cs="方正仿宋_GBK"/>
          <w:sz w:val="30"/>
          <w:szCs w:val="30"/>
          <w:u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u w:val="none"/>
          <w:lang w:val="en-US" w:eastAsia="zh-CN"/>
        </w:rPr>
        <w:t>1、主动告知班主任“孩子需要重点关注的相关问题”。</w:t>
      </w:r>
    </w:p>
    <w:p>
      <w:pPr>
        <w:ind w:firstLine="600" w:firstLineChars="200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、家长要定期</w:t>
      </w:r>
      <w:r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  <w:t>主动与孩子沟通，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向</w:t>
      </w:r>
      <w:r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  <w:t>孩子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了解在校学习、生活、身体、心理等状况，帮助</w:t>
      </w:r>
      <w:r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  <w:t>孩子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积极应对各种困难和挑战。</w:t>
      </w:r>
      <w:r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  <w:t>要求孩子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自觉接受</w:t>
      </w:r>
      <w:r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  <w:t>班主任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 xml:space="preserve">的教育引导，与同学团结友爱，保持健康向上的心态。  </w:t>
      </w:r>
    </w:p>
    <w:p>
      <w:pPr>
        <w:ind w:firstLine="600" w:firstLineChars="200"/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、家长</w:t>
      </w:r>
      <w:r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  <w:t>要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定期</w:t>
      </w:r>
      <w:r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  <w:t>主动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与</w:t>
      </w:r>
      <w:r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  <w:t>班主任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保持联系，了解</w:t>
      </w:r>
      <w:r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  <w:t>孩子在校园的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学习、生活</w:t>
      </w:r>
      <w:r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  <w:t>及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身</w:t>
      </w:r>
      <w:r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  <w:t>体、心理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等情况</w:t>
      </w:r>
      <w:r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  <w:t>，并告知班主任孩子在家的表现情况。</w:t>
      </w:r>
    </w:p>
    <w:p>
      <w:pPr>
        <w:ind w:firstLine="600" w:firstLineChars="200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、家长要主动了解学校的放假安排，周末或节假日督促</w:t>
      </w:r>
      <w:r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  <w:t>孩子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按时回家，并</w:t>
      </w:r>
      <w:r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  <w:t>及时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向班主任告知到家时间。</w:t>
      </w:r>
    </w:p>
    <w:p>
      <w:pPr>
        <w:ind w:firstLine="600" w:firstLineChars="200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5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、</w:t>
      </w:r>
      <w:r>
        <w:rPr>
          <w:rFonts w:hint="eastAsia" w:ascii="方正仿宋_GBK" w:hAnsi="方正仿宋_GBK" w:eastAsia="方正仿宋_GBK" w:cs="方正仿宋_GBK"/>
          <w:b/>
          <w:bCs/>
          <w:sz w:val="30"/>
          <w:szCs w:val="30"/>
          <w:lang w:eastAsia="zh-CN"/>
        </w:rPr>
        <w:t>（本条只适应于身体、心理需要重点关注的孩子）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家长</w:t>
      </w:r>
      <w:r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  <w:t>要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定期带</w:t>
      </w:r>
      <w:r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  <w:t>孩子到医院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进行检查，</w:t>
      </w:r>
      <w:r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  <w:t>及时将检查结果、检查报告复印件交给班主任，以便于学校重点关爱。家长要为孩子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备足相关药品</w:t>
      </w:r>
      <w:r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叮嘱</w:t>
      </w:r>
      <w:r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  <w:t>其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按时用药，及时提醒</w:t>
      </w:r>
      <w:r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  <w:t>孩子切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勿</w:t>
      </w:r>
      <w:r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  <w:t>做不适合的相关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运动。</w:t>
      </w:r>
    </w:p>
    <w:p>
      <w:pPr>
        <w:rPr>
          <w:rFonts w:hint="default" w:ascii="方正仿宋_GBK" w:hAnsi="方正仿宋_GBK" w:eastAsia="方正仿宋_GBK" w:cs="方正仿宋_GBK"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 xml:space="preserve">               </w:t>
      </w:r>
    </w:p>
    <w:p>
      <w:pPr>
        <w:ind w:firstLine="600" w:firstLineChars="200"/>
        <w:rPr>
          <w:rFonts w:hint="default" w:ascii="方正仿宋_GBK" w:hAnsi="方正仿宋_GBK" w:eastAsia="方正仿宋_GBK" w:cs="方正仿宋_GBK"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家长签字：                    班主任签字：</w:t>
      </w:r>
    </w:p>
    <w:p>
      <w:pPr>
        <w:ind w:firstLine="600" w:firstLineChars="200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sectPr>
          <w:pgSz w:w="11906" w:h="16838"/>
          <w:pgMar w:top="1440" w:right="1803" w:bottom="1440" w:left="1803" w:header="851" w:footer="992" w:gutter="0"/>
          <w:pgNumType w:fmt="numberInDash"/>
          <w:cols w:space="0" w:num="1"/>
          <w:rtlGutter w:val="0"/>
          <w:docGrid w:type="lines" w:linePitch="319" w:charSpace="0"/>
        </w:sectPr>
      </w:pP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日    期：                    日      期：</w:t>
      </w:r>
    </w:p>
    <w:p>
      <w:pPr>
        <w:jc w:val="both"/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附件3：</w:t>
      </w:r>
    </w:p>
    <w:p>
      <w:pPr>
        <w:ind w:firstLine="2200" w:firstLineChars="500"/>
        <w:jc w:val="both"/>
        <w:rPr>
          <w:rFonts w:hint="eastAsia"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学生</w:t>
      </w:r>
      <w:r>
        <w:rPr>
          <w:rFonts w:hint="eastAsia" w:ascii="黑体" w:eastAsia="黑体"/>
          <w:sz w:val="44"/>
          <w:szCs w:val="44"/>
          <w:lang w:eastAsia="zh-CN"/>
        </w:rPr>
        <w:t>帮扶教育</w:t>
      </w:r>
      <w:r>
        <w:rPr>
          <w:rFonts w:hint="eastAsia" w:ascii="黑体" w:eastAsia="黑体"/>
          <w:sz w:val="44"/>
          <w:szCs w:val="44"/>
        </w:rPr>
        <w:t>记录</w:t>
      </w:r>
    </w:p>
    <w:p>
      <w:pPr>
        <w:jc w:val="center"/>
        <w:rPr>
          <w:rFonts w:hint="eastAsia" w:ascii="黑体" w:eastAsia="黑体"/>
          <w:sz w:val="10"/>
          <w:szCs w:val="10"/>
        </w:rPr>
      </w:pPr>
    </w:p>
    <w:tbl>
      <w:tblPr>
        <w:tblStyle w:val="6"/>
        <w:tblW w:w="104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20"/>
        <w:gridCol w:w="3780"/>
        <w:gridCol w:w="3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时间</w:t>
            </w:r>
          </w:p>
        </w:tc>
        <w:tc>
          <w:tcPr>
            <w:tcW w:w="37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帮扶</w:t>
            </w:r>
            <w:r>
              <w:rPr>
                <w:rFonts w:hint="eastAsia" w:ascii="宋体" w:hAnsi="宋体"/>
                <w:sz w:val="28"/>
                <w:szCs w:val="28"/>
              </w:rPr>
              <w:t>老师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学生姓名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4" w:hRule="atLeast"/>
          <w:jc w:val="center"/>
        </w:trPr>
        <w:tc>
          <w:tcPr>
            <w:tcW w:w="3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7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2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3" w:hRule="atLeast"/>
          <w:jc w:val="center"/>
        </w:trPr>
        <w:tc>
          <w:tcPr>
            <w:tcW w:w="10440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教育</w:t>
            </w:r>
            <w:r>
              <w:rPr>
                <w:rFonts w:hint="eastAsia" w:ascii="宋体" w:hAnsi="宋体"/>
                <w:sz w:val="28"/>
                <w:szCs w:val="28"/>
              </w:rPr>
              <w:t>记录</w:t>
            </w:r>
          </w:p>
        </w:tc>
      </w:tr>
    </w:tbl>
    <w:p>
      <w:pPr>
        <w:pStyle w:val="4"/>
        <w:widowControl/>
        <w:numPr>
          <w:ilvl w:val="0"/>
          <w:numId w:val="0"/>
        </w:numPr>
        <w:spacing w:before="0" w:beforeAutospacing="0" w:after="0" w:afterAutospacing="0" w:line="400" w:lineRule="exact"/>
        <w:jc w:val="left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</w:p>
    <w:sectPr>
      <w:pgSz w:w="11906" w:h="16838"/>
      <w:pgMar w:top="1440" w:right="1803" w:bottom="1440" w:left="1803" w:header="851" w:footer="992" w:gutter="0"/>
      <w:pgNumType w:fmt="numberInDash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 w:val="1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775F20"/>
    <w:rsid w:val="02164E67"/>
    <w:rsid w:val="022737D5"/>
    <w:rsid w:val="03A4581C"/>
    <w:rsid w:val="045A3039"/>
    <w:rsid w:val="064F6440"/>
    <w:rsid w:val="09226D13"/>
    <w:rsid w:val="0A8D7F8B"/>
    <w:rsid w:val="0EDA1A4A"/>
    <w:rsid w:val="102100BE"/>
    <w:rsid w:val="10387172"/>
    <w:rsid w:val="10E22C22"/>
    <w:rsid w:val="141457F8"/>
    <w:rsid w:val="16C66761"/>
    <w:rsid w:val="17BE235F"/>
    <w:rsid w:val="19327163"/>
    <w:rsid w:val="1B775F20"/>
    <w:rsid w:val="1C20493E"/>
    <w:rsid w:val="1FF93AAE"/>
    <w:rsid w:val="20724F87"/>
    <w:rsid w:val="22830165"/>
    <w:rsid w:val="23754342"/>
    <w:rsid w:val="250B404B"/>
    <w:rsid w:val="27726F34"/>
    <w:rsid w:val="27781051"/>
    <w:rsid w:val="27DA416F"/>
    <w:rsid w:val="29C161A5"/>
    <w:rsid w:val="2A094C9F"/>
    <w:rsid w:val="2DE22E86"/>
    <w:rsid w:val="2E550195"/>
    <w:rsid w:val="30372DB1"/>
    <w:rsid w:val="30BF3C65"/>
    <w:rsid w:val="31054703"/>
    <w:rsid w:val="3288267E"/>
    <w:rsid w:val="32A64CBD"/>
    <w:rsid w:val="3AB14A3A"/>
    <w:rsid w:val="43397F1D"/>
    <w:rsid w:val="47F354A9"/>
    <w:rsid w:val="49BD0290"/>
    <w:rsid w:val="4F011398"/>
    <w:rsid w:val="561A1559"/>
    <w:rsid w:val="56586636"/>
    <w:rsid w:val="59697114"/>
    <w:rsid w:val="5B8D1470"/>
    <w:rsid w:val="5D201834"/>
    <w:rsid w:val="5FA72A05"/>
    <w:rsid w:val="64197546"/>
    <w:rsid w:val="66BE3B37"/>
    <w:rsid w:val="688A48FC"/>
    <w:rsid w:val="6A700CAC"/>
    <w:rsid w:val="6E6F7879"/>
    <w:rsid w:val="6F627197"/>
    <w:rsid w:val="710B555E"/>
    <w:rsid w:val="74043AC4"/>
    <w:rsid w:val="74A16071"/>
    <w:rsid w:val="76321A24"/>
    <w:rsid w:val="76371580"/>
    <w:rsid w:val="776076B7"/>
    <w:rsid w:val="786C1B09"/>
    <w:rsid w:val="7CA842D2"/>
    <w:rsid w:val="7CBC32EF"/>
    <w:rsid w:val="7EE3598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 w:line="360" w:lineRule="auto"/>
      <w:jc w:val="left"/>
    </w:pPr>
    <w:rPr>
      <w:rFonts w:ascii="ˎ̥" w:hAnsi="ˎ̥" w:cs="宋体"/>
      <w:kern w:val="0"/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font51"/>
    <w:basedOn w:val="7"/>
    <w:qFormat/>
    <w:uiPriority w:val="0"/>
    <w:rPr>
      <w:rFonts w:hint="eastAsia" w:ascii="宋体" w:hAnsi="宋体" w:eastAsia="宋体" w:cs="宋体"/>
      <w:color w:val="FF0000"/>
      <w:sz w:val="22"/>
      <w:szCs w:val="22"/>
      <w:u w:val="none"/>
    </w:rPr>
  </w:style>
  <w:style w:type="character" w:customStyle="1" w:styleId="9">
    <w:name w:val="font4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0">
    <w:name w:val="font10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34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2015-12-21T08:03:00Z</dcterms:created>
  <dc:creator>yu</dc:creator>
  <cp:lastModifiedBy>火宵</cp:lastModifiedBy>
  <cp:lastPrinted>2019-11-11T03:12:00Z</cp:lastPrinted>
  <dcterms:modified xsi:type="dcterms:W3CDTF">2019-11-25T03:00:17Z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